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800" w:rsidRDefault="00AB0800" w:rsidP="00AB080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TSG-RAN WG4 Meeting #88BIS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Tdoc R</w:t>
      </w:r>
      <w:r w:rsidR="00772D0C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>-</w:t>
      </w:r>
      <w:r w:rsidR="00E07D48" w:rsidRPr="00E07D48">
        <w:t xml:space="preserve"> </w:t>
      </w:r>
      <w:r w:rsidR="00E07D48" w:rsidRPr="00E07D48">
        <w:rPr>
          <w:rFonts w:ascii="Arial" w:hAnsi="Arial" w:cs="Arial"/>
          <w:b/>
          <w:bCs/>
          <w:sz w:val="22"/>
        </w:rPr>
        <w:t>1812457</w:t>
      </w:r>
    </w:p>
    <w:p w:rsidR="00AB0800" w:rsidRDefault="00BA51C9" w:rsidP="00AB080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Chengdu China, 8-12 October 2018</w:t>
      </w:r>
    </w:p>
    <w:p w:rsidR="00AB0800" w:rsidRDefault="00AB0800" w:rsidP="00AB0800">
      <w:pPr>
        <w:rPr>
          <w:rFonts w:ascii="Arial" w:hAnsi="Arial" w:cs="Arial"/>
        </w:rPr>
      </w:pPr>
    </w:p>
    <w:p w:rsidR="00AB0800" w:rsidRPr="00CD6B84" w:rsidRDefault="00AB0800" w:rsidP="00AB08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Reply </w:t>
      </w:r>
      <w:r w:rsidRPr="00DD05C4">
        <w:rPr>
          <w:rFonts w:ascii="Arial" w:hAnsi="Arial" w:cs="Arial"/>
          <w:bCs/>
        </w:rPr>
        <w:t xml:space="preserve">LS on intra-band combination </w:t>
      </w:r>
      <w:r>
        <w:rPr>
          <w:rFonts w:ascii="Arial" w:hAnsi="Arial" w:cs="Arial" w:hint="eastAsia"/>
          <w:bCs/>
          <w:lang w:eastAsia="ja-JP"/>
        </w:rPr>
        <w:t>for NR CA and MR-DC</w:t>
      </w:r>
    </w:p>
    <w:p w:rsidR="00AB0800" w:rsidRPr="00CD6B84" w:rsidRDefault="00AB0800" w:rsidP="00AB0800">
      <w:pPr>
        <w:spacing w:after="60"/>
        <w:ind w:left="1985" w:hanging="1985"/>
        <w:rPr>
          <w:rFonts w:ascii="Arial" w:hAnsi="Arial" w:cs="Arial"/>
          <w:bCs/>
        </w:rPr>
      </w:pPr>
      <w:r w:rsidRPr="00CD6B84">
        <w:rPr>
          <w:rFonts w:ascii="Arial" w:hAnsi="Arial" w:cs="Arial"/>
          <w:b/>
        </w:rPr>
        <w:t>Response to:</w:t>
      </w:r>
      <w:r w:rsidRPr="00CD6B84">
        <w:rPr>
          <w:rFonts w:ascii="Arial" w:hAnsi="Arial" w:cs="Arial"/>
          <w:bCs/>
        </w:rPr>
        <w:tab/>
      </w:r>
    </w:p>
    <w:p w:rsidR="00AB0800" w:rsidRPr="00CD6B84" w:rsidRDefault="00AB0800" w:rsidP="00AB0800">
      <w:pPr>
        <w:spacing w:after="60"/>
        <w:ind w:left="1985" w:hanging="1985"/>
        <w:rPr>
          <w:rFonts w:ascii="Arial" w:hAnsi="Arial" w:cs="Arial"/>
          <w:bCs/>
        </w:rPr>
      </w:pPr>
      <w:r w:rsidRPr="00CD6B84">
        <w:rPr>
          <w:rFonts w:ascii="Arial" w:hAnsi="Arial" w:cs="Arial"/>
          <w:b/>
        </w:rPr>
        <w:t>Release:</w:t>
      </w:r>
      <w:r w:rsidRPr="00CD6B84">
        <w:rPr>
          <w:rFonts w:ascii="Arial" w:hAnsi="Arial" w:cs="Arial"/>
          <w:bCs/>
        </w:rPr>
        <w:tab/>
        <w:t>Release 15</w:t>
      </w:r>
    </w:p>
    <w:p w:rsidR="00AB0800" w:rsidRPr="00CD6B84" w:rsidRDefault="00AB0800" w:rsidP="00AB0800">
      <w:pPr>
        <w:spacing w:after="60"/>
        <w:ind w:left="1985" w:hanging="1985"/>
        <w:rPr>
          <w:rFonts w:ascii="Arial" w:hAnsi="Arial" w:cs="Arial"/>
          <w:bCs/>
        </w:rPr>
      </w:pPr>
      <w:r w:rsidRPr="00CD6B84">
        <w:rPr>
          <w:rFonts w:ascii="Arial" w:hAnsi="Arial" w:cs="Arial"/>
          <w:b/>
        </w:rPr>
        <w:t>Work Item:</w:t>
      </w:r>
      <w:r w:rsidRPr="00CD6B84">
        <w:rPr>
          <w:rFonts w:ascii="Arial" w:hAnsi="Arial" w:cs="Arial"/>
          <w:bCs/>
        </w:rPr>
        <w:tab/>
        <w:t>NR_newRAT-Core</w:t>
      </w:r>
    </w:p>
    <w:p w:rsidR="00AB0800" w:rsidRPr="00CD6B84" w:rsidRDefault="00AB0800" w:rsidP="00AB0800">
      <w:pPr>
        <w:spacing w:after="60"/>
        <w:ind w:left="1985" w:hanging="1985"/>
        <w:rPr>
          <w:rFonts w:ascii="Arial" w:hAnsi="Arial" w:cs="Arial"/>
          <w:b/>
        </w:rPr>
      </w:pPr>
    </w:p>
    <w:p w:rsidR="00AB0800" w:rsidRPr="00CD6B84" w:rsidRDefault="00AB0800" w:rsidP="00AB0800">
      <w:pPr>
        <w:spacing w:after="60"/>
        <w:ind w:left="1985" w:hanging="1985"/>
        <w:rPr>
          <w:rFonts w:ascii="Arial" w:hAnsi="Arial" w:cs="Arial"/>
          <w:bCs/>
        </w:rPr>
      </w:pPr>
      <w:r w:rsidRPr="00CD6B84"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RAN4</w:t>
      </w:r>
    </w:p>
    <w:p w:rsidR="00AB0800" w:rsidRPr="00CD6B84" w:rsidRDefault="00AB0800" w:rsidP="00AB0800">
      <w:pPr>
        <w:spacing w:after="60"/>
        <w:ind w:left="1985" w:hanging="1985"/>
        <w:rPr>
          <w:rFonts w:ascii="Arial" w:hAnsi="Arial" w:cs="Arial"/>
          <w:bCs/>
        </w:rPr>
      </w:pPr>
      <w:r w:rsidRPr="00CD6B84">
        <w:rPr>
          <w:rFonts w:ascii="Arial" w:hAnsi="Arial" w:cs="Arial"/>
          <w:b/>
        </w:rPr>
        <w:t>To:</w:t>
      </w:r>
      <w:r w:rsidRPr="00CD6B84"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</w:rPr>
        <w:t>2</w:t>
      </w:r>
    </w:p>
    <w:p w:rsidR="00AB0800" w:rsidRDefault="00AB0800" w:rsidP="00AB08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A40ED">
        <w:rPr>
          <w:rFonts w:ascii="Arial" w:hAnsi="Arial" w:cs="Arial"/>
          <w:bCs/>
        </w:rPr>
        <w:t>RAN1</w:t>
      </w:r>
    </w:p>
    <w:p w:rsidR="00AB0800" w:rsidRDefault="00AB0800" w:rsidP="00AB0800">
      <w:pPr>
        <w:spacing w:after="60"/>
        <w:ind w:left="1985" w:hanging="1985"/>
        <w:rPr>
          <w:rFonts w:ascii="Arial" w:hAnsi="Arial" w:cs="Arial"/>
          <w:bCs/>
        </w:rPr>
      </w:pPr>
    </w:p>
    <w:p w:rsidR="00AB0800" w:rsidRDefault="00AB0800" w:rsidP="00AB08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B0800" w:rsidRDefault="00AB0800" w:rsidP="00AB08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A51C9">
        <w:rPr>
          <w:rFonts w:cs="Arial"/>
          <w:b w:val="0"/>
          <w:bCs/>
        </w:rPr>
        <w:t>John Humbert</w:t>
      </w:r>
    </w:p>
    <w:p w:rsidR="00AB0800" w:rsidRDefault="00AB0800" w:rsidP="00AB08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A51C9">
        <w:rPr>
          <w:rFonts w:ascii="Arial" w:hAnsi="Arial" w:cs="Arial"/>
          <w:bCs/>
        </w:rPr>
        <w:t>+one 8 one 6 two 1 zero 9 six one 1</w:t>
      </w:r>
    </w:p>
    <w:p w:rsidR="00AB0800" w:rsidRDefault="00AB0800" w:rsidP="00AB08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A51C9">
        <w:rPr>
          <w:rFonts w:cs="Arial"/>
          <w:b w:val="0"/>
          <w:bCs/>
        </w:rPr>
        <w:t>john dot humbert2 at T-Mobile dot com</w:t>
      </w:r>
    </w:p>
    <w:p w:rsidR="00AB0800" w:rsidRDefault="00AB0800" w:rsidP="00AB0800">
      <w:pPr>
        <w:spacing w:after="60"/>
        <w:ind w:left="1985" w:hanging="1985"/>
        <w:rPr>
          <w:rFonts w:ascii="Arial" w:hAnsi="Arial" w:cs="Arial"/>
          <w:b/>
        </w:rPr>
      </w:pPr>
    </w:p>
    <w:p w:rsidR="00AB0800" w:rsidRDefault="00AB0800" w:rsidP="00AB08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AB0800" w:rsidRDefault="00AB0800" w:rsidP="00AB0800">
      <w:pPr>
        <w:spacing w:after="60"/>
        <w:ind w:left="1985" w:hanging="1985"/>
        <w:rPr>
          <w:rFonts w:ascii="Arial" w:hAnsi="Arial" w:cs="Arial"/>
          <w:b/>
        </w:rPr>
      </w:pPr>
    </w:p>
    <w:p w:rsidR="00AB0800" w:rsidRDefault="00AB0800" w:rsidP="00AB08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B0800" w:rsidRDefault="00AB0800" w:rsidP="00AB0800">
      <w:pPr>
        <w:pBdr>
          <w:bottom w:val="single" w:sz="4" w:space="1" w:color="auto"/>
        </w:pBdr>
        <w:rPr>
          <w:rFonts w:ascii="Arial" w:hAnsi="Arial" w:cs="Arial"/>
        </w:rPr>
      </w:pPr>
    </w:p>
    <w:p w:rsidR="002C082B" w:rsidRDefault="007A40ED"/>
    <w:p w:rsidR="00AB0800" w:rsidRDefault="00AB0800">
      <w:r>
        <w:t>RAN4 would like to thank RAN2 for the LS on</w:t>
      </w:r>
      <w:r w:rsidRPr="00AB0800">
        <w:t xml:space="preserve"> intra-band combination for NR CA and MR-DC</w:t>
      </w:r>
      <w:r>
        <w:t>, The LS is broken down into three parts.</w:t>
      </w:r>
    </w:p>
    <w:p w:rsidR="00AB0800" w:rsidRDefault="00AB0800"/>
    <w:p w:rsidR="00485305" w:rsidRDefault="00485305">
      <w:r>
        <w:rPr>
          <w:rFonts w:ascii="Arial" w:hAnsi="Arial" w:cs="Arial"/>
          <w:b/>
        </w:rPr>
        <w:t xml:space="preserve">1. Intra-band non-contiguous </w:t>
      </w:r>
      <w:r>
        <w:rPr>
          <w:rFonts w:ascii="Arial" w:hAnsi="Arial" w:cs="Arial" w:hint="eastAsia"/>
          <w:b/>
          <w:lang w:eastAsia="ja-JP"/>
        </w:rPr>
        <w:t xml:space="preserve">NR </w:t>
      </w:r>
      <w:r>
        <w:rPr>
          <w:rFonts w:ascii="Arial" w:hAnsi="Arial" w:cs="Arial"/>
          <w:b/>
        </w:rPr>
        <w:t>CA signalling</w:t>
      </w:r>
    </w:p>
    <w:p w:rsidR="00485305" w:rsidRDefault="00485305"/>
    <w:p w:rsidR="00AB0800" w:rsidRDefault="00485305">
      <w:pPr>
        <w:rPr>
          <w:rFonts w:ascii="Arial" w:hAnsi="Arial" w:cs="Arial"/>
        </w:rPr>
      </w:pPr>
      <w:r>
        <w:t xml:space="preserve">While </w:t>
      </w:r>
      <w:r w:rsidR="00AB0800">
        <w:rPr>
          <w:rFonts w:ascii="Arial" w:hAnsi="Arial" w:cs="Arial"/>
        </w:rPr>
        <w:t>LTE CA supports the mechanism to reduce the capability signalling size of intra-band non-contiguous band combinations</w:t>
      </w:r>
      <w:r>
        <w:rPr>
          <w:rFonts w:ascii="Arial" w:hAnsi="Arial" w:cs="Arial"/>
        </w:rPr>
        <w:t xml:space="preserve"> it is unclear from a RAN4 perspective if such a mechanism would benefit NR CA capability size given the substantial way that RAN2 changed UE capability signalling.  RAN4 believes that RAN2 is the best TSG to determine signalling optimization that </w:t>
      </w:r>
      <w:r w:rsidR="001A1FD2">
        <w:rPr>
          <w:rFonts w:ascii="Arial" w:hAnsi="Arial" w:cs="Arial"/>
        </w:rPr>
        <w:t>doesn’t involve</w:t>
      </w:r>
      <w:r>
        <w:rPr>
          <w:rFonts w:ascii="Arial" w:hAnsi="Arial" w:cs="Arial"/>
        </w:rPr>
        <w:t xml:space="preserve"> any loss of functionality. </w:t>
      </w:r>
    </w:p>
    <w:p w:rsidR="00485305" w:rsidRDefault="00485305">
      <w:pPr>
        <w:rPr>
          <w:rFonts w:ascii="Arial" w:hAnsi="Arial" w:cs="Arial"/>
        </w:rPr>
      </w:pPr>
    </w:p>
    <w:p w:rsidR="00485305" w:rsidRDefault="00485305" w:rsidP="00485305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2</w:t>
      </w:r>
      <w:r>
        <w:rPr>
          <w:rFonts w:ascii="Arial" w:hAnsi="Arial" w:cs="Arial" w:hint="eastAsia"/>
          <w:b/>
          <w:lang w:eastAsia="ja-JP"/>
        </w:rPr>
        <w:t>. Intra-band MR-DC band combination signalling</w:t>
      </w:r>
    </w:p>
    <w:p w:rsidR="00485305" w:rsidRDefault="005601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specifications have different requirements for case 1 and case2: </w:t>
      </w:r>
    </w:p>
    <w:p w:rsidR="0056015E" w:rsidRDefault="0056015E">
      <w:pPr>
        <w:rPr>
          <w:rFonts w:ascii="Arial" w:hAnsi="Arial" w:cs="Arial"/>
        </w:rPr>
      </w:pPr>
    </w:p>
    <w:p w:rsidR="0056015E" w:rsidRDefault="0056015E" w:rsidP="0056015E">
      <w:pPr>
        <w:spacing w:after="120"/>
        <w:ind w:left="1440" w:hanging="72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Case 1:</w:t>
      </w:r>
      <w:r>
        <w:rPr>
          <w:rFonts w:ascii="Arial" w:hAnsi="Arial" w:cs="Arial" w:hint="eastAsia"/>
          <w:lang w:eastAsia="ja-JP"/>
        </w:rPr>
        <w:tab/>
        <w:t>MR-DC band combination where the spectrum is contiguous across LTE and NR within the same band;</w:t>
      </w:r>
    </w:p>
    <w:p w:rsidR="0056015E" w:rsidRDefault="0056015E" w:rsidP="0056015E">
      <w:pPr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ab/>
        <w:t>Case 2:</w:t>
      </w:r>
      <w:r>
        <w:rPr>
          <w:rFonts w:ascii="Arial" w:hAnsi="Arial" w:cs="Arial" w:hint="eastAsia"/>
          <w:lang w:eastAsia="ja-JP"/>
        </w:rPr>
        <w:tab/>
        <w:t xml:space="preserve">MR-DC band combination where both LTE and NR are in the same band, but not in one </w:t>
      </w:r>
      <w:r>
        <w:rPr>
          <w:rFonts w:ascii="Arial" w:hAnsi="Arial" w:cs="Arial" w:hint="eastAsia"/>
          <w:lang w:eastAsia="ja-JP"/>
        </w:rPr>
        <w:tab/>
      </w:r>
      <w:r>
        <w:rPr>
          <w:rFonts w:ascii="Arial" w:hAnsi="Arial" w:cs="Arial" w:hint="eastAsia"/>
          <w:lang w:eastAsia="ja-JP"/>
        </w:rPr>
        <w:tab/>
      </w:r>
      <w:r>
        <w:rPr>
          <w:rFonts w:ascii="Arial" w:hAnsi="Arial" w:cs="Arial" w:hint="eastAsia"/>
          <w:lang w:eastAsia="ja-JP"/>
        </w:rPr>
        <w:tab/>
        <w:t>contiguous spectrum.</w:t>
      </w:r>
    </w:p>
    <w:p w:rsidR="0056015E" w:rsidRPr="0056015E" w:rsidRDefault="0056015E" w:rsidP="0056015E">
      <w:pPr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UE architectures and capabilities vary based on the various case 1 and case 2 </w:t>
      </w:r>
      <w:r w:rsidR="00655D17">
        <w:rPr>
          <w:rFonts w:ascii="Arial" w:hAnsi="Arial" w:cs="Arial"/>
          <w:lang w:eastAsia="ja-JP"/>
        </w:rPr>
        <w:t>requirements</w:t>
      </w:r>
      <w:r w:rsidR="00772D0C">
        <w:rPr>
          <w:rFonts w:ascii="Arial" w:hAnsi="Arial" w:cs="Arial"/>
          <w:lang w:eastAsia="ja-JP"/>
        </w:rPr>
        <w:t>. The</w:t>
      </w:r>
      <w:r>
        <w:rPr>
          <w:rFonts w:ascii="Arial" w:hAnsi="Arial" w:cs="Arial"/>
          <w:lang w:eastAsia="ja-JP"/>
        </w:rPr>
        <w:t xml:space="preserve"> </w:t>
      </w:r>
      <w:r w:rsidR="00655D17">
        <w:rPr>
          <w:rFonts w:ascii="Arial" w:hAnsi="Arial" w:cs="Arial"/>
          <w:lang w:eastAsia="ja-JP"/>
        </w:rPr>
        <w:t xml:space="preserve">network needs to be informed </w:t>
      </w:r>
      <w:r>
        <w:rPr>
          <w:rFonts w:ascii="Arial" w:hAnsi="Arial" w:cs="Arial"/>
          <w:lang w:eastAsia="ja-JP"/>
        </w:rPr>
        <w:t xml:space="preserve">of the UE capability differences between case 1 and case2.  RAN4 believes that this can be accomplished by expanding the definition of </w:t>
      </w:r>
      <w:proofErr w:type="spellStart"/>
      <w:r>
        <w:rPr>
          <w:rFonts w:ascii="Arial" w:hAnsi="Arial" w:cs="Arial"/>
          <w:i/>
          <w:lang w:eastAsia="ja-JP"/>
        </w:rPr>
        <w:t>Freqseparationclass</w:t>
      </w:r>
      <w:proofErr w:type="spellEnd"/>
      <w:r>
        <w:rPr>
          <w:rFonts w:ascii="Arial" w:hAnsi="Arial" w:cs="Arial"/>
          <w:i/>
          <w:lang w:eastAsia="ja-JP"/>
        </w:rPr>
        <w:t xml:space="preserve"> </w:t>
      </w:r>
      <w:r>
        <w:rPr>
          <w:rFonts w:ascii="Arial" w:hAnsi="Arial" w:cs="Arial"/>
          <w:lang w:eastAsia="ja-JP"/>
        </w:rPr>
        <w:t>IE to include both CA, intraband contiguous EN_DC (case 1) and intraband non-contiguous EN_DC (case 2). Adding a field to the IE stating “</w:t>
      </w:r>
      <w:r w:rsidR="00655D17">
        <w:rPr>
          <w:rFonts w:ascii="Arial" w:hAnsi="Arial" w:cs="Arial"/>
          <w:lang w:eastAsia="ja-JP"/>
        </w:rPr>
        <w:t>contiguous intraband</w:t>
      </w:r>
      <w:r>
        <w:rPr>
          <w:rFonts w:ascii="Arial" w:hAnsi="Arial" w:cs="Arial"/>
          <w:lang w:eastAsia="ja-JP"/>
        </w:rPr>
        <w:t xml:space="preserve"> EN_DC” is suffi</w:t>
      </w:r>
      <w:r w:rsidR="00655D17">
        <w:rPr>
          <w:rFonts w:ascii="Arial" w:hAnsi="Arial" w:cs="Arial"/>
          <w:lang w:eastAsia="ja-JP"/>
        </w:rPr>
        <w:t>ci</w:t>
      </w:r>
      <w:r>
        <w:rPr>
          <w:rFonts w:ascii="Arial" w:hAnsi="Arial" w:cs="Arial"/>
          <w:lang w:eastAsia="ja-JP"/>
        </w:rPr>
        <w:t>ent to differentiate between case 1 and case 2.  Mapping b</w:t>
      </w:r>
      <w:r w:rsidR="00655D17">
        <w:rPr>
          <w:rFonts w:ascii="Arial" w:hAnsi="Arial" w:cs="Arial"/>
          <w:lang w:eastAsia="ja-JP"/>
        </w:rPr>
        <w:t>etween remaining separation classes and the requirements for Case 2 will be completed in RAN4 specifications.</w:t>
      </w:r>
    </w:p>
    <w:p w:rsidR="0056015E" w:rsidRDefault="0056015E" w:rsidP="0056015E">
      <w:pPr>
        <w:spacing w:after="120"/>
        <w:rPr>
          <w:rFonts w:ascii="Arial" w:hAnsi="Arial" w:cs="Arial"/>
          <w:lang w:eastAsia="ja-JP"/>
        </w:rPr>
      </w:pPr>
    </w:p>
    <w:p w:rsidR="00655D17" w:rsidRDefault="00655D17" w:rsidP="00655D17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 xml:space="preserve">. Handling of TA in Synchronous </w:t>
      </w:r>
      <w:r>
        <w:rPr>
          <w:rFonts w:ascii="Arial" w:hAnsi="Arial" w:cs="Arial" w:hint="eastAsia"/>
          <w:b/>
          <w:lang w:eastAsia="ja-JP"/>
        </w:rPr>
        <w:t>MR</w:t>
      </w:r>
      <w:r>
        <w:rPr>
          <w:rFonts w:ascii="Arial" w:hAnsi="Arial" w:cs="Arial"/>
          <w:b/>
        </w:rPr>
        <w:t>-DC</w:t>
      </w:r>
    </w:p>
    <w:p w:rsidR="001A1FD2" w:rsidRDefault="001A1FD2" w:rsidP="001A1FD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</w:rPr>
        <w:lastRenderedPageBreak/>
        <w:t>RAN4 has defined EN_DC combinations which are</w:t>
      </w:r>
      <w:r>
        <w:rPr>
          <w:rFonts w:ascii="Arial" w:hAnsi="Arial" w:cs="Arial"/>
        </w:rPr>
        <w:t xml:space="preserve"> synchronous,</w:t>
      </w:r>
      <w:r>
        <w:rPr>
          <w:rFonts w:ascii="Arial" w:hAnsi="Arial" w:cs="Arial"/>
        </w:rPr>
        <w:t xml:space="preserve"> this is </w:t>
      </w:r>
      <w:r>
        <w:rPr>
          <w:rFonts w:ascii="Arial" w:hAnsi="Arial" w:cs="Arial"/>
        </w:rPr>
        <w:t>where LTE and NR are time-aligned.</w:t>
      </w:r>
      <w:r w:rsidR="00772D0C" w:rsidRPr="00772D0C">
        <w:rPr>
          <w:rFonts w:ascii="Arial" w:hAnsi="Arial" w:cs="Arial"/>
        </w:rPr>
        <w:t xml:space="preserve"> </w:t>
      </w:r>
      <w:r w:rsidR="00772D0C">
        <w:rPr>
          <w:rFonts w:ascii="Arial" w:hAnsi="Arial" w:cs="Arial"/>
        </w:rPr>
        <w:t xml:space="preserve">How synchronous </w:t>
      </w:r>
      <w:r w:rsidR="00772D0C">
        <w:rPr>
          <w:rFonts w:ascii="Arial" w:hAnsi="Arial" w:cs="Arial" w:hint="eastAsia"/>
          <w:lang w:eastAsia="ja-JP"/>
        </w:rPr>
        <w:t>MR</w:t>
      </w:r>
      <w:r w:rsidR="00772D0C">
        <w:rPr>
          <w:rFonts w:ascii="Arial" w:hAnsi="Arial" w:cs="Arial"/>
        </w:rPr>
        <w:t xml:space="preserve">-DC combinations should be supported from timing adjustment </w:t>
      </w:r>
      <w:r w:rsidR="007A40ED">
        <w:rPr>
          <w:rFonts w:ascii="Arial" w:hAnsi="Arial" w:cs="Arial"/>
        </w:rPr>
        <w:t xml:space="preserve">perspective </w:t>
      </w:r>
      <w:r w:rsidR="007A40ED">
        <w:rPr>
          <w:rFonts w:ascii="Arial" w:hAnsi="Arial" w:cs="Arial"/>
          <w:lang w:eastAsia="ja-JP"/>
        </w:rPr>
        <w:t>is</w:t>
      </w:r>
      <w:bookmarkStart w:id="0" w:name="_GoBack"/>
      <w:bookmarkEnd w:id="0"/>
      <w:r>
        <w:rPr>
          <w:rFonts w:ascii="Arial" w:hAnsi="Arial" w:cs="Arial"/>
          <w:lang w:eastAsia="ja-JP"/>
        </w:rPr>
        <w:t xml:space="preserve"> being discussed </w:t>
      </w:r>
      <w:r w:rsidR="00772D0C">
        <w:rPr>
          <w:rFonts w:ascii="Arial" w:hAnsi="Arial" w:cs="Arial"/>
          <w:lang w:eastAsia="ja-JP"/>
        </w:rPr>
        <w:t xml:space="preserve">and RAN4 will inform the other TSG’s </w:t>
      </w:r>
      <w:r>
        <w:rPr>
          <w:rFonts w:ascii="Arial" w:hAnsi="Arial" w:cs="Arial"/>
          <w:lang w:eastAsia="ja-JP"/>
        </w:rPr>
        <w:t xml:space="preserve">when there is a decision. </w:t>
      </w:r>
    </w:p>
    <w:p w:rsidR="00655D17" w:rsidRDefault="00655D17" w:rsidP="0056015E">
      <w:pPr>
        <w:spacing w:after="120"/>
        <w:rPr>
          <w:rFonts w:ascii="Arial" w:hAnsi="Arial" w:cs="Arial"/>
          <w:lang w:eastAsia="ja-JP"/>
        </w:rPr>
      </w:pPr>
    </w:p>
    <w:p w:rsidR="001A1FD2" w:rsidRDefault="001A1FD2"/>
    <w:p w:rsidR="00772D0C" w:rsidRDefault="00772D0C" w:rsidP="00772D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TSG-RAN WG2 Meetings:</w:t>
      </w:r>
    </w:p>
    <w:p w:rsidR="00772D0C" w:rsidRDefault="00772D0C" w:rsidP="00772D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771FA">
        <w:rPr>
          <w:rFonts w:ascii="Arial" w:hAnsi="Arial" w:cs="Arial"/>
          <w:bCs/>
        </w:rPr>
        <w:t>TSG-RAN WG</w:t>
      </w:r>
      <w:r>
        <w:rPr>
          <w:rFonts w:ascii="Arial" w:hAnsi="Arial" w:cs="Arial"/>
          <w:bCs/>
        </w:rPr>
        <w:t>4</w:t>
      </w:r>
      <w:r w:rsidRPr="00E771F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89</w:t>
      </w:r>
      <w:r>
        <w:rPr>
          <w:rFonts w:ascii="Arial" w:hAnsi="Arial" w:cs="Arial"/>
          <w:bCs/>
        </w:rPr>
        <w:tab/>
        <w:t>12th – 16th November 2018</w:t>
      </w:r>
      <w:r>
        <w:rPr>
          <w:rFonts w:ascii="Arial" w:hAnsi="Arial" w:cs="Arial"/>
          <w:bCs/>
        </w:rPr>
        <w:tab/>
        <w:t>Spokane, USA</w:t>
      </w:r>
      <w:r w:rsidRPr="00E771FA">
        <w:rPr>
          <w:rFonts w:ascii="Arial" w:hAnsi="Arial" w:cs="Arial"/>
          <w:bCs/>
        </w:rPr>
        <w:t>.</w:t>
      </w:r>
    </w:p>
    <w:p w:rsidR="00772D0C" w:rsidRDefault="00772D0C" w:rsidP="00772D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771FA">
        <w:rPr>
          <w:rFonts w:ascii="Arial" w:hAnsi="Arial" w:cs="Arial"/>
          <w:bCs/>
        </w:rPr>
        <w:t>TSG-RAN WG</w:t>
      </w:r>
      <w:r>
        <w:rPr>
          <w:rFonts w:ascii="Arial" w:hAnsi="Arial" w:cs="Arial"/>
          <w:bCs/>
        </w:rPr>
        <w:t>4</w:t>
      </w:r>
      <w:r w:rsidRPr="00E771F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90</w:t>
      </w:r>
      <w:r>
        <w:rPr>
          <w:rFonts w:ascii="Arial" w:hAnsi="Arial" w:cs="Arial"/>
          <w:bCs/>
        </w:rPr>
        <w:tab/>
        <w:t>25 February – 1 March 2018</w:t>
      </w:r>
      <w:r>
        <w:rPr>
          <w:rFonts w:ascii="Arial" w:hAnsi="Arial" w:cs="Arial"/>
          <w:bCs/>
        </w:rPr>
        <w:tab/>
        <w:t>Athens, Greece</w:t>
      </w:r>
    </w:p>
    <w:p w:rsidR="00772D0C" w:rsidRDefault="00772D0C" w:rsidP="00772D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A1FD2" w:rsidRDefault="001A1FD2"/>
    <w:p w:rsidR="008F7982" w:rsidRDefault="008F7982"/>
    <w:sectPr w:rsidR="008F79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800"/>
    <w:rsid w:val="001A1FD2"/>
    <w:rsid w:val="00485305"/>
    <w:rsid w:val="004A1057"/>
    <w:rsid w:val="0056015E"/>
    <w:rsid w:val="00655D17"/>
    <w:rsid w:val="006A28D1"/>
    <w:rsid w:val="00772D0C"/>
    <w:rsid w:val="007A40ED"/>
    <w:rsid w:val="008F7982"/>
    <w:rsid w:val="00AB0800"/>
    <w:rsid w:val="00BA51C9"/>
    <w:rsid w:val="00C03A75"/>
    <w:rsid w:val="00CD7FC2"/>
    <w:rsid w:val="00E0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CC575"/>
  <w15:chartTrackingRefBased/>
  <w15:docId w15:val="{E2BB8DF7-60DC-4B70-A8EA-A93FD1347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0800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AB080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AB080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AB0800"/>
    <w:rPr>
      <w:rFonts w:ascii="Arial" w:eastAsia="Yu Mincho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B0800"/>
    <w:rPr>
      <w:rFonts w:ascii="Arial" w:eastAsia="Yu Mincho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AB080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AB0800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AB0800"/>
    <w:rPr>
      <w:color w:val="0000FF"/>
      <w:u w:val="single"/>
    </w:rPr>
  </w:style>
  <w:style w:type="paragraph" w:customStyle="1" w:styleId="TAN">
    <w:name w:val="TAN"/>
    <w:basedOn w:val="Normal"/>
    <w:link w:val="TANChar"/>
    <w:rsid w:val="008F7982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Theme="minorEastAsia" w:hAnsi="Arial"/>
      <w:sz w:val="18"/>
    </w:rPr>
  </w:style>
  <w:style w:type="character" w:customStyle="1" w:styleId="TANChar">
    <w:name w:val="TAN Char"/>
    <w:link w:val="TAN"/>
    <w:rsid w:val="008F7982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8F798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Normal"/>
    <w:next w:val="Normal"/>
    <w:link w:val="THChar"/>
    <w:rsid w:val="008F79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rsid w:val="008F7982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8F7982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7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Humbert, John</dc:creator>
  <cp:keywords/>
  <dc:description/>
  <cp:lastModifiedBy>Humbert, John</cp:lastModifiedBy>
  <cp:revision>3</cp:revision>
  <dcterms:created xsi:type="dcterms:W3CDTF">2018-09-28T05:28:00Z</dcterms:created>
  <dcterms:modified xsi:type="dcterms:W3CDTF">2018-09-28T05:39:00Z</dcterms:modified>
</cp:coreProperties>
</file>